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F057E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F057E3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F057E3" w:rsidRPr="00F057E3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F057E3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</w:t>
                  </w:r>
                  <w:r w:rsidR="00F057E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F057E3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71-30/VIII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2F7F4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Оніщук М.В.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F7F4D">
        <w:rPr>
          <w:rFonts w:ascii="Times New Roman" w:hAnsi="Times New Roman"/>
          <w:sz w:val="28"/>
          <w:szCs w:val="28"/>
          <w:lang w:val="uk-UA"/>
        </w:rPr>
        <w:t>Оніщук М.В.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6EE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C06EE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4D">
        <w:rPr>
          <w:rFonts w:ascii="Times New Roman" w:hAnsi="Times New Roman"/>
          <w:sz w:val="28"/>
          <w:szCs w:val="28"/>
          <w:lang w:val="uk-UA"/>
        </w:rPr>
        <w:t>Оніщук М.В.</w:t>
      </w:r>
      <w:r w:rsidR="007C06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C06EE">
        <w:rPr>
          <w:rFonts w:ascii="Times New Roman" w:hAnsi="Times New Roman"/>
          <w:sz w:val="28"/>
          <w:szCs w:val="28"/>
          <w:lang w:val="uk-UA"/>
        </w:rPr>
        <w:t>5000</w:t>
      </w:r>
      <w:r w:rsidR="007C06E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C06EE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4D">
        <w:rPr>
          <w:rFonts w:ascii="Times New Roman" w:hAnsi="Times New Roman"/>
          <w:sz w:val="28"/>
          <w:szCs w:val="28"/>
          <w:lang w:val="uk-UA"/>
        </w:rPr>
        <w:t>Оніщук Марії Василівні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C06E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057E3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10E0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57E3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2024-01-16T06:54:00Z</dcterms:created>
  <dcterms:modified xsi:type="dcterms:W3CDTF">2024-01-16T06:54:00Z</dcterms:modified>
</cp:coreProperties>
</file>